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6"/>
        <w:gridCol w:w="3445"/>
        <w:gridCol w:w="1518"/>
        <w:gridCol w:w="1087"/>
        <w:gridCol w:w="1079"/>
        <w:gridCol w:w="1161"/>
        <w:gridCol w:w="1145"/>
        <w:gridCol w:w="1185"/>
      </w:tblGrid>
      <w:tr w:rsidR="0037293A" w:rsidRPr="00511DFF" w:rsidTr="00B71CF0">
        <w:trPr>
          <w:tblHeader/>
        </w:trPr>
        <w:tc>
          <w:tcPr>
            <w:tcW w:w="214" w:type="pct"/>
            <w:vMerge w:val="restart"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552" w:type="pct"/>
            <w:vMerge w:val="restart"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84" w:type="pct"/>
            <w:vMerge w:val="restart"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90" w:type="pct"/>
            <w:vMerge w:val="restart"/>
            <w:vAlign w:val="center"/>
          </w:tcPr>
          <w:p w:rsidR="008904FB" w:rsidRPr="00511DFF" w:rsidRDefault="008904FB" w:rsidP="00904329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511DFF" w:rsidRDefault="008904FB" w:rsidP="00904329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059" w:type="pct"/>
            <w:gridSpan w:val="4"/>
            <w:vAlign w:val="center"/>
          </w:tcPr>
          <w:p w:rsidR="008904FB" w:rsidRPr="00511DFF" w:rsidRDefault="008904FB" w:rsidP="00904329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37293A" w:rsidRPr="00511DFF" w:rsidTr="00B71CF0">
        <w:trPr>
          <w:tblHeader/>
        </w:trPr>
        <w:tc>
          <w:tcPr>
            <w:tcW w:w="214" w:type="pct"/>
            <w:vMerge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52" w:type="pct"/>
            <w:vMerge/>
            <w:vAlign w:val="center"/>
          </w:tcPr>
          <w:p w:rsidR="008904FB" w:rsidRPr="00511DFF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84" w:type="pct"/>
            <w:vMerge/>
            <w:vAlign w:val="center"/>
          </w:tcPr>
          <w:p w:rsidR="008904FB" w:rsidRPr="00511DFF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90" w:type="pct"/>
            <w:vMerge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09" w:type="pct"/>
            <w:gridSpan w:val="2"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050" w:type="pct"/>
            <w:gridSpan w:val="2"/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37293A" w:rsidRPr="00511DFF" w:rsidTr="00B71CF0">
        <w:trPr>
          <w:tblHeader/>
        </w:trPr>
        <w:tc>
          <w:tcPr>
            <w:tcW w:w="214" w:type="pct"/>
            <w:vMerge/>
            <w:tcBorders>
              <w:bottom w:val="single" w:sz="4" w:space="0" w:color="000000"/>
            </w:tcBorders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552" w:type="pct"/>
            <w:vMerge/>
            <w:tcBorders>
              <w:bottom w:val="single" w:sz="4" w:space="0" w:color="000000"/>
            </w:tcBorders>
          </w:tcPr>
          <w:p w:rsidR="008904FB" w:rsidRPr="00511DFF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84" w:type="pct"/>
            <w:vMerge/>
            <w:tcBorders>
              <w:bottom w:val="single" w:sz="4" w:space="0" w:color="000000"/>
            </w:tcBorders>
          </w:tcPr>
          <w:p w:rsidR="008904FB" w:rsidRPr="00511DFF" w:rsidRDefault="008904FB" w:rsidP="00904329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90" w:type="pct"/>
            <w:vMerge/>
            <w:tcBorders>
              <w:bottom w:val="single" w:sz="4" w:space="0" w:color="000000"/>
            </w:tcBorders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86" w:type="pct"/>
            <w:tcBorders>
              <w:bottom w:val="single" w:sz="4" w:space="0" w:color="000000"/>
            </w:tcBorders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23" w:type="pct"/>
            <w:tcBorders>
              <w:bottom w:val="single" w:sz="4" w:space="0" w:color="000000"/>
            </w:tcBorders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16" w:type="pct"/>
            <w:tcBorders>
              <w:bottom w:val="single" w:sz="4" w:space="0" w:color="000000"/>
            </w:tcBorders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34" w:type="pct"/>
            <w:tcBorders>
              <w:bottom w:val="single" w:sz="4" w:space="0" w:color="000000"/>
            </w:tcBorders>
            <w:vAlign w:val="center"/>
          </w:tcPr>
          <w:p w:rsidR="008904FB" w:rsidRPr="00511DFF" w:rsidRDefault="008904FB" w:rsidP="00904329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511DFF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E538C4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15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 xml:space="preserve">Por el traspaso al cierre del ejercicio del saldo de las cuentas de resultados del ingreso a la cuenta 6.1.1.1 </w:t>
            </w:r>
            <w:r w:rsidRPr="00511DFF">
              <w:rPr>
                <w:rFonts w:ascii="Noto Sans" w:hAnsi="Noto Sans" w:cs="Noto Sans"/>
                <w:sz w:val="18"/>
                <w:szCs w:val="18"/>
              </w:rPr>
              <w:t>Resumen de Ingresos y Egresos</w:t>
            </w:r>
            <w:r w:rsidR="006B3FC2" w:rsidRPr="00511DFF">
              <w:rPr>
                <w:rFonts w:ascii="Noto Sans" w:hAnsi="Noto Sans" w:cs="Noto Sans"/>
                <w:sz w:val="18"/>
                <w:szCs w:val="18"/>
              </w:rPr>
              <w:t xml:space="preserve"> o 6.1.1.2 Pérdidas y Ganancias</w:t>
            </w:r>
            <w:r w:rsidRPr="00511DFF">
              <w:rPr>
                <w:rFonts w:ascii="Noto Sans" w:hAnsi="Noto Sans" w:cs="Noto Sans"/>
                <w:sz w:val="18"/>
                <w:szCs w:val="18"/>
              </w:rPr>
              <w:t>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spacing w:before="120"/>
              <w:jc w:val="both"/>
              <w:rPr>
                <w:rFonts w:ascii="Noto Sans" w:hAnsi="Noto Sans" w:cs="Noto Sans"/>
                <w:snapToGrid w:val="0"/>
                <w:sz w:val="17"/>
                <w:szCs w:val="17"/>
              </w:rPr>
            </w:pPr>
            <w:r w:rsidRPr="00511DFF">
              <w:rPr>
                <w:rFonts w:ascii="Noto Sans" w:hAnsi="Noto Sans" w:cs="Noto Sans"/>
                <w:snapToGrid w:val="0"/>
                <w:sz w:val="17"/>
                <w:szCs w:val="17"/>
              </w:rPr>
              <w:t>Balanza de Comprobación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4.1.2.2</w:t>
            </w:r>
          </w:p>
          <w:p w:rsidR="00E538C4" w:rsidRPr="00511DFF" w:rsidRDefault="00E538C4" w:rsidP="00374BC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Cuotas para el Seguro Social</w:t>
            </w:r>
          </w:p>
          <w:p w:rsidR="00E538C4" w:rsidRPr="00511DFF" w:rsidRDefault="00E538C4" w:rsidP="00374BC8">
            <w:pPr>
              <w:jc w:val="center"/>
              <w:rPr>
                <w:rFonts w:ascii="Noto Sans" w:hAnsi="Noto Sans" w:cs="Noto Sans"/>
                <w:sz w:val="8"/>
                <w:szCs w:val="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455A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6.1.1.1</w:t>
            </w:r>
          </w:p>
          <w:p w:rsidR="00E538C4" w:rsidRPr="00511DFF" w:rsidRDefault="00E538C4" w:rsidP="00374BC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Resumen de Ingresos y Egresos</w:t>
            </w:r>
          </w:p>
          <w:p w:rsidR="006B3FC2" w:rsidRPr="00511DFF" w:rsidRDefault="006B3FC2" w:rsidP="00374BC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74BC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E538C4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E538C4" w:rsidRPr="00511DFF" w:rsidRDefault="00E538C4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B3E08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B3E08">
            <w:pPr>
              <w:spacing w:before="120"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4.1.7.3</w:t>
            </w:r>
          </w:p>
          <w:p w:rsidR="00E538C4" w:rsidRPr="00511DFF" w:rsidRDefault="00E538C4" w:rsidP="00121917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Ingresos por Venta de </w:t>
            </w:r>
            <w:proofErr w:type="spellStart"/>
            <w:r w:rsidRPr="00511DFF">
              <w:rPr>
                <w:rFonts w:ascii="Noto Sans" w:hAnsi="Noto Sans" w:cs="Noto Sans"/>
                <w:sz w:val="13"/>
                <w:szCs w:val="13"/>
              </w:rPr>
              <w:t>Bie-nes</w:t>
            </w:r>
            <w:proofErr w:type="spellEnd"/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y Presta-</w:t>
            </w:r>
            <w:proofErr w:type="spellStart"/>
            <w:r w:rsidRPr="00511DFF">
              <w:rPr>
                <w:rFonts w:ascii="Noto Sans" w:hAnsi="Noto Sans" w:cs="Noto Sans"/>
                <w:sz w:val="13"/>
                <w:szCs w:val="13"/>
              </w:rPr>
              <w:t>ción</w:t>
            </w:r>
            <w:proofErr w:type="spellEnd"/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de </w:t>
            </w:r>
            <w:proofErr w:type="spellStart"/>
            <w:r w:rsidRPr="00511DFF">
              <w:rPr>
                <w:rFonts w:ascii="Noto Sans" w:hAnsi="Noto Sans" w:cs="Noto Sans"/>
                <w:sz w:val="13"/>
                <w:szCs w:val="13"/>
              </w:rPr>
              <w:t>Servi-cios</w:t>
            </w:r>
            <w:proofErr w:type="spellEnd"/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de </w:t>
            </w:r>
            <w:proofErr w:type="spellStart"/>
            <w:r w:rsidRPr="00511DFF">
              <w:rPr>
                <w:rFonts w:ascii="Noto Sans" w:hAnsi="Noto Sans" w:cs="Noto Sans"/>
                <w:sz w:val="13"/>
                <w:szCs w:val="13"/>
              </w:rPr>
              <w:t>Enti-dades</w:t>
            </w:r>
            <w:proofErr w:type="spellEnd"/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</w:t>
            </w:r>
            <w:proofErr w:type="spellStart"/>
            <w:r w:rsidRPr="00511DFF">
              <w:rPr>
                <w:rFonts w:ascii="Noto Sans" w:hAnsi="Noto Sans" w:cs="Noto Sans"/>
                <w:sz w:val="13"/>
                <w:szCs w:val="13"/>
              </w:rPr>
              <w:t>Paraes-tatales</w:t>
            </w:r>
            <w:proofErr w:type="spellEnd"/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y Fideicomisos no Empresa-riales No Financieros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6B3FC2" w:rsidRPr="00511DFF" w:rsidRDefault="006B3FC2" w:rsidP="006B3FC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6.1.1.2</w:t>
            </w:r>
          </w:p>
          <w:p w:rsidR="00E538C4" w:rsidRPr="00511DFF" w:rsidRDefault="006B3FC2" w:rsidP="006B3FC2">
            <w:pPr>
              <w:spacing w:after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4"/>
                <w:szCs w:val="18"/>
              </w:rPr>
              <w:t>Pérdidas y Ganancias</w:t>
            </w: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</w:tcPr>
          <w:p w:rsidR="00E538C4" w:rsidRPr="00511DFF" w:rsidRDefault="00E538C4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52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rPr>
                <w:rFonts w:ascii="Noto Sans" w:hAnsi="Noto Sans" w:cs="Noto Sans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4.2.2.1</w:t>
            </w:r>
          </w:p>
          <w:p w:rsidR="003B3E08" w:rsidRPr="00511DFF" w:rsidRDefault="003B3E08" w:rsidP="00121917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Transferencias y Asignaciones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52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rPr>
                <w:rFonts w:ascii="Noto Sans" w:hAnsi="Noto Sans" w:cs="Noto Sans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4.2.2.3</w:t>
            </w:r>
          </w:p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Subsidios y Subvenciones</w:t>
            </w:r>
          </w:p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4.3.1.1</w:t>
            </w:r>
          </w:p>
          <w:p w:rsidR="003B3E08" w:rsidRPr="00511DFF" w:rsidRDefault="003B3E08" w:rsidP="00121917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Intereses Ganados de</w:t>
            </w:r>
            <w:r w:rsidR="00121917" w:rsidRPr="00511DFF">
              <w:rPr>
                <w:rFonts w:ascii="Noto Sans" w:hAnsi="Noto Sans" w:cs="Noto Sans"/>
                <w:sz w:val="13"/>
                <w:szCs w:val="13"/>
              </w:rPr>
              <w:t xml:space="preserve"> Títulos,</w:t>
            </w: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Valores</w:t>
            </w:r>
            <w:r w:rsidR="00121917" w:rsidRPr="00511DFF">
              <w:rPr>
                <w:rFonts w:ascii="Noto Sans" w:hAnsi="Noto Sans" w:cs="Noto Sans"/>
                <w:sz w:val="13"/>
                <w:szCs w:val="13"/>
              </w:rPr>
              <w:t xml:space="preserve"> y demás</w:t>
            </w: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</w:t>
            </w:r>
            <w:r w:rsidR="00121917" w:rsidRPr="00511DFF">
              <w:rPr>
                <w:rFonts w:ascii="Noto Sans" w:hAnsi="Noto Sans" w:cs="Noto Sans"/>
                <w:sz w:val="13"/>
                <w:szCs w:val="13"/>
              </w:rPr>
              <w:t>Instrumentos Financieros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4.3.1.9</w:t>
            </w:r>
          </w:p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Otros Ingresos Financieros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4.3.2.1</w:t>
            </w:r>
          </w:p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Incremento por Variación de Inventarios de Mercancías para Reventa</w:t>
            </w: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4.3.2.2</w:t>
            </w:r>
          </w:p>
          <w:p w:rsidR="00EC080B" w:rsidRPr="00511DFF" w:rsidRDefault="003B3E08" w:rsidP="007033B3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Incremento por Variación de Inventarios de Mercancías Terminadas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445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2A4CDD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4.3.2.3</w:t>
            </w:r>
          </w:p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Incremento por Variación de Inventarios de Mercancías en Proceso de Elaboración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4.3.2.4</w:t>
            </w:r>
          </w:p>
          <w:p w:rsidR="003B3E08" w:rsidRPr="00511DFF" w:rsidRDefault="00591D9B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Incremento por Variación de Inventarios de Materias Primas, Materiales y Suministros para Producción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top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 w:after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4.3.2.5</w:t>
            </w:r>
          </w:p>
          <w:p w:rsidR="003B3E08" w:rsidRPr="00511DFF" w:rsidRDefault="00591D9B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Incremento por Variación de Almacén de Materias Primas, Materiales y Suministros de Consumo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4.3.3.1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del Exceso de Estimaciones por Pérdida o Deterioro u Obsolescencia</w:t>
            </w:r>
          </w:p>
          <w:p w:rsidR="003B3E08" w:rsidRPr="00511DFF" w:rsidRDefault="003B3E08" w:rsidP="003B3E0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4.3.4.1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del Exceso de Provisiones</w:t>
            </w:r>
          </w:p>
          <w:p w:rsidR="003B3E08" w:rsidRPr="00511DFF" w:rsidRDefault="003B3E08" w:rsidP="003B3E0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4.3.9.1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Otros Ingresos de Ejercicios Anteriores</w:t>
            </w:r>
          </w:p>
          <w:p w:rsidR="003B3E08" w:rsidRPr="00511DFF" w:rsidRDefault="003B3E08" w:rsidP="003B3E0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4.3.9.2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Bonificaciones y Descuentos Obtenidos</w:t>
            </w:r>
          </w:p>
          <w:p w:rsidR="003B3E08" w:rsidRPr="00511DFF" w:rsidRDefault="003B3E08" w:rsidP="003B3E0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4.3.9.3</w:t>
            </w:r>
          </w:p>
          <w:p w:rsidR="003B3E08" w:rsidRPr="00511DFF" w:rsidRDefault="00591D9B" w:rsidP="007033B3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Diferencias por Tipo de Cambio a Favor en Efectivo y Equivalentes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4.3.9.5</w:t>
            </w:r>
          </w:p>
          <w:p w:rsidR="003B3E08" w:rsidRPr="00511DFF" w:rsidRDefault="00591D9B" w:rsidP="007033B3">
            <w:pPr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Resultado por Posición Monetaria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54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4.3.9.6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Utilidad por Participación Patrimonial</w:t>
            </w:r>
          </w:p>
          <w:p w:rsidR="003B3E08" w:rsidRPr="00511DFF" w:rsidRDefault="003B3E08" w:rsidP="003B3E0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4.3.9.9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Otros Ingresos y Beneficios Varios</w:t>
            </w:r>
          </w:p>
          <w:p w:rsidR="003B3E08" w:rsidRPr="00511DFF" w:rsidRDefault="003B3E08" w:rsidP="003B3E08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3E08" w:rsidRPr="00511DFF" w:rsidRDefault="003B3E08" w:rsidP="003B3E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374BC8" w:rsidRPr="00511DFF" w:rsidRDefault="00374BC8" w:rsidP="00374BC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4BC8" w:rsidRPr="00511DFF" w:rsidRDefault="00374BC8" w:rsidP="006B3FC2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 xml:space="preserve">Por el traspaso al cierre del ejercicio del saldo de las cuentas de resultados del egreso a la cuenta </w:t>
            </w:r>
            <w:r w:rsidR="00690FEC" w:rsidRPr="00511DFF">
              <w:rPr>
                <w:rFonts w:ascii="Noto Sans" w:hAnsi="Noto Sans" w:cs="Noto Sans"/>
                <w:snapToGrid w:val="0"/>
                <w:sz w:val="18"/>
              </w:rPr>
              <w:t xml:space="preserve">6.1.1.1 </w:t>
            </w:r>
            <w:r w:rsidR="00690FEC" w:rsidRPr="00511DFF">
              <w:rPr>
                <w:rFonts w:ascii="Noto Sans" w:hAnsi="Noto Sans" w:cs="Noto Sans"/>
                <w:sz w:val="18"/>
                <w:szCs w:val="18"/>
              </w:rPr>
              <w:t>Resumen de Ingresos y Egresos</w:t>
            </w:r>
            <w:r w:rsidR="006B3FC2" w:rsidRPr="00511DFF">
              <w:rPr>
                <w:rFonts w:ascii="Noto Sans" w:hAnsi="Noto Sans" w:cs="Noto Sans"/>
                <w:sz w:val="18"/>
                <w:szCs w:val="18"/>
              </w:rPr>
              <w:t xml:space="preserve"> o 6.1.1.2 Pérdidas y Ganancias.</w:t>
            </w: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4BC8" w:rsidRPr="00511DFF" w:rsidRDefault="00374BC8" w:rsidP="00374BC8">
            <w:pPr>
              <w:spacing w:before="120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Balanza de Comprobación.</w:t>
            </w: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4BC8" w:rsidRPr="00511DFF" w:rsidRDefault="00374BC8" w:rsidP="00374BC8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7838" w:rsidRPr="00511DFF" w:rsidRDefault="00217838" w:rsidP="0021783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6.1.1.1</w:t>
            </w:r>
          </w:p>
          <w:p w:rsidR="00374BC8" w:rsidRPr="00511DFF" w:rsidRDefault="00217838" w:rsidP="0021783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Resumen de Ingresos y Egresos</w:t>
            </w:r>
          </w:p>
          <w:p w:rsidR="006B3FC2" w:rsidRPr="00511DFF" w:rsidRDefault="006B3FC2" w:rsidP="0021783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</w:t>
            </w: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4BC8" w:rsidRPr="00511DFF" w:rsidRDefault="002A4CDD" w:rsidP="00374BC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5.1.1.1</w:t>
            </w:r>
          </w:p>
          <w:p w:rsidR="00374BC8" w:rsidRPr="00511DFF" w:rsidRDefault="00374BC8" w:rsidP="00374BC8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2"/>
                <w:szCs w:val="12"/>
              </w:rPr>
              <w:t>Remuneraciones al Personal de Carácter Permanente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4BC8" w:rsidRPr="00511DFF" w:rsidRDefault="00374BC8" w:rsidP="00374BC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4BC8" w:rsidRPr="00511DFF" w:rsidRDefault="00374BC8" w:rsidP="00374BC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B3FC2" w:rsidRPr="00511DFF" w:rsidRDefault="006B3FC2" w:rsidP="006B3FC2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6.1.1.2</w:t>
            </w:r>
          </w:p>
          <w:p w:rsidR="00591D9B" w:rsidRPr="00511DFF" w:rsidRDefault="006B3FC2" w:rsidP="006B3FC2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4"/>
                <w:szCs w:val="18"/>
              </w:rPr>
              <w:t>Pérdidas y Ganancias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5.1.1.2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2"/>
                <w:szCs w:val="12"/>
              </w:rPr>
              <w:t>Remuneraciones al Personal de Carácter</w:t>
            </w: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 Transitorio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5.1.1.3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2"/>
                <w:szCs w:val="12"/>
              </w:rPr>
            </w:pPr>
            <w:r w:rsidRPr="00511DFF">
              <w:rPr>
                <w:rFonts w:ascii="Noto Sans" w:hAnsi="Noto Sans" w:cs="Noto Sans"/>
                <w:sz w:val="12"/>
                <w:szCs w:val="12"/>
              </w:rPr>
              <w:t>Remuneraciones Adicionales y Especiales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5.1.1.4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Seguridad Social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5.1.1.5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Otras Prestaciones Sociales y Económicas</w:t>
            </w:r>
          </w:p>
          <w:p w:rsidR="00591D9B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  <w:p w:rsidR="00511DFF" w:rsidRPr="00511DFF" w:rsidRDefault="00511DFF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511DFF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5.1.1.6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Pago de Estímulos a Servidores Públicos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6A529A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5.1.2.1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Materiales de Administración, Emisión de Documentos y Artículos Oficiales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6A529A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2A4CDD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5.1.2.2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Alimentos y Utensilios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005D56" w:rsidP="007033B3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5.1.2.3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2"/>
                <w:szCs w:val="12"/>
              </w:rPr>
            </w:pPr>
            <w:r w:rsidRPr="00511DFF">
              <w:rPr>
                <w:rFonts w:ascii="Noto Sans" w:hAnsi="Noto Sans" w:cs="Noto Sans"/>
                <w:sz w:val="12"/>
                <w:szCs w:val="12"/>
              </w:rPr>
              <w:t>Materias Primas y Materiales de Producción y Comercialización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44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5.1.2.4</w:t>
            </w:r>
          </w:p>
          <w:p w:rsidR="00591D9B" w:rsidRPr="00511DFF" w:rsidRDefault="00591D9B" w:rsidP="006A529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Materiales y Artículos de Construcción y de Reparación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5.1.2.5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Productos Químicos, Farmacéuticos y de Laboratorio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5.1.2.6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Combustibles, Lubricantes y Aditivos</w:t>
            </w:r>
          </w:p>
          <w:p w:rsidR="00EC080B" w:rsidRPr="00511DFF" w:rsidRDefault="00EC080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5.1.2.7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Vestuario, Blancos, Prendas de Protección y Artículos Deportivos</w:t>
            </w:r>
          </w:p>
          <w:p w:rsidR="00B51874" w:rsidRPr="00511DFF" w:rsidRDefault="00B51874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5.1.2.8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Materiales y Suministros para Seguridad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5.1.2.9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Herramientas, Refacciones y Accesorios Menores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5.1.3.1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Servicios Básicos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5.1.3.2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Servicios de Arrendamiento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6A529A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5.1.3.3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Servicios Profesionales, Científicos y Técnicos y Otros Servicios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6A529A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591D9B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5.1.3.4</w:t>
            </w:r>
          </w:p>
          <w:p w:rsidR="00591D9B" w:rsidRPr="00511DFF" w:rsidRDefault="00591D9B" w:rsidP="006A529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Servicios Financieros, Bancarios y Comerciales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5187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E95E25" w:rsidP="006A529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5.1.3.5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Servicios de Instalación, Reparación, Mantenimiento</w:t>
            </w:r>
            <w:r w:rsidRPr="00511DFF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</w:t>
            </w: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y Conservación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10A43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6822B8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5.1.3.6</w:t>
            </w:r>
          </w:p>
          <w:p w:rsidR="00591D9B" w:rsidRPr="00511DFF" w:rsidRDefault="00591D9B" w:rsidP="006A529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napToGrid w:val="0"/>
                <w:sz w:val="13"/>
                <w:szCs w:val="13"/>
              </w:rPr>
              <w:t>Servicios de Comunicación Social y Publicidad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210A43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0A43" w:rsidRPr="00511DFF" w:rsidRDefault="00210A43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6822B8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5.1.3.7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Servicios de Traslado y Viáticos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6822B8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5.1.3.8</w:t>
            </w:r>
          </w:p>
          <w:p w:rsidR="00591D9B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Servicios Oficiales</w:t>
            </w:r>
          </w:p>
          <w:p w:rsidR="00254401" w:rsidRDefault="00254401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  <w:p w:rsidR="00254401" w:rsidRPr="00511DFF" w:rsidRDefault="00254401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6822B8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5.1.3.9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Otros Servicios Generales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6822B8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5.2.3.1</w:t>
            </w:r>
          </w:p>
          <w:p w:rsidR="00591D9B" w:rsidRPr="00511DFF" w:rsidRDefault="003F4D23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Subsidios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5.2.3.2</w:t>
            </w:r>
          </w:p>
          <w:p w:rsidR="00591D9B" w:rsidRPr="00511DFF" w:rsidRDefault="00591D9B" w:rsidP="00E538C4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Subvenciones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E538C4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5.5.1.1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Estimaciones por Pérdida o Deterioro de Activos Circulantes</w:t>
            </w:r>
          </w:p>
          <w:p w:rsidR="00EC080B" w:rsidRPr="00511DFF" w:rsidRDefault="00EC080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6822B8" w:rsidP="00591D9B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5.2.4.1</w:t>
            </w:r>
          </w:p>
          <w:p w:rsidR="00591D9B" w:rsidRPr="00511DFF" w:rsidRDefault="00591D9B" w:rsidP="00591D9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Ayudas Sociales a Personas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3C22CB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5.2.4.3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Ayudas Sociales a Instituciones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3C22CB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5.5.1.1</w:t>
            </w:r>
          </w:p>
          <w:p w:rsidR="00591D9B" w:rsidRPr="00511DFF" w:rsidRDefault="00B71CF0" w:rsidP="003F4D23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Estimaciones por Pérdida o Deterioro de Activos Circulantes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3C22CB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5.5.1.2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Estimaciones por Pérdida o Deterioro de Activo no Circulante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5.5.1.3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Depreciación de Bienes Inmuebles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E538C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346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F0" w:rsidRPr="00511DFF" w:rsidRDefault="006822B8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5.5.1.4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Depreciación de Infraestructura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3C22CB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5.5.1.5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Depreciación de Bienes Muebles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5.5.1.6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Deterioro de los Activos Biológicos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6822B8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5.5.1.7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Amortización de Activos Intangibles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FC435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6822B8" w:rsidP="00591D9B">
            <w:pPr>
              <w:ind w:left="-57" w:right="-57"/>
              <w:jc w:val="center"/>
              <w:rPr>
                <w:rFonts w:ascii="Noto Sans" w:hAnsi="Noto Sans" w:cs="Noto Sans"/>
                <w:sz w:val="13"/>
                <w:szCs w:val="13"/>
                <w:lang w:val="es-MX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  <w:lang w:val="es-MX"/>
              </w:rPr>
              <w:t>5.5.2.2</w:t>
            </w:r>
            <w:r w:rsidRPr="00511DFF">
              <w:rPr>
                <w:rFonts w:ascii="Noto Sans" w:hAnsi="Noto Sans" w:cs="Noto Sans"/>
                <w:sz w:val="18"/>
                <w:szCs w:val="18"/>
                <w:lang w:val="es-MX"/>
              </w:rPr>
              <w:br/>
            </w:r>
            <w:r w:rsidR="00B71CF0" w:rsidRPr="00511DFF">
              <w:rPr>
                <w:rFonts w:ascii="Noto Sans" w:hAnsi="Noto Sans" w:cs="Noto Sans"/>
                <w:sz w:val="13"/>
                <w:szCs w:val="13"/>
                <w:lang w:val="es-MX"/>
              </w:rPr>
              <w:t>Provisiones de Pasivo a Largo Plazo</w:t>
            </w:r>
          </w:p>
          <w:p w:rsidR="00EC080B" w:rsidRPr="00511DFF" w:rsidRDefault="00EC080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FC435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5.5.3.1</w:t>
            </w:r>
          </w:p>
          <w:p w:rsidR="00B51874" w:rsidRPr="00511DFF" w:rsidRDefault="00B71CF0" w:rsidP="00E538C4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 Inventarios de Mercancías para Venta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FC435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6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5.5.3.2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 Inventarios de Mercancías Terminadas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5.5.3.3</w:t>
            </w:r>
          </w:p>
          <w:p w:rsidR="00EC080B" w:rsidRPr="00511DFF" w:rsidRDefault="00B71CF0" w:rsidP="003C22CB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 Inventarios de Mercancías en Proceso de Elaboración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5.5.3.4</w:t>
            </w:r>
          </w:p>
          <w:p w:rsidR="00591D9B" w:rsidRDefault="00B71CF0" w:rsidP="0025440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 Inventarios de Materias Primas, Materiales y Suministros para Producción</w:t>
            </w:r>
          </w:p>
          <w:p w:rsidR="00254401" w:rsidRDefault="00254401" w:rsidP="0025440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  <w:p w:rsidR="00254401" w:rsidRDefault="00254401" w:rsidP="0025440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  <w:p w:rsidR="00254401" w:rsidRDefault="00254401" w:rsidP="0025440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  <w:p w:rsidR="00254401" w:rsidRDefault="00254401" w:rsidP="0025440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  <w:p w:rsidR="00254401" w:rsidRPr="00254401" w:rsidRDefault="00254401" w:rsidP="0025440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5.5.3.5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Disminución de Almacén de Materiales y Suministros de Consumo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22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5.5.9.2</w:t>
            </w:r>
          </w:p>
          <w:p w:rsidR="00591D9B" w:rsidRPr="00511DFF" w:rsidRDefault="00B71CF0" w:rsidP="003C22C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Pérdidas por </w:t>
            </w:r>
            <w:proofErr w:type="spellStart"/>
            <w:r w:rsidRPr="00511DFF">
              <w:rPr>
                <w:rFonts w:ascii="Noto Sans" w:hAnsi="Noto Sans" w:cs="Noto Sans"/>
                <w:sz w:val="13"/>
                <w:szCs w:val="13"/>
              </w:rPr>
              <w:t>Responsabili-dades</w:t>
            </w:r>
            <w:proofErr w:type="spellEnd"/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5.5.9.3</w:t>
            </w:r>
          </w:p>
          <w:p w:rsidR="00591D9B" w:rsidRPr="00511DFF" w:rsidRDefault="00B71CF0" w:rsidP="00B71CF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Bonificaciones y Descuentos Otorgados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5.5.9.4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Diferencias por Tipo de Cambio Negativas en Efectivo y Equivalentes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B71CF0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5.5.9.6</w:t>
            </w:r>
          </w:p>
          <w:p w:rsidR="00B71CF0" w:rsidRPr="00511DFF" w:rsidRDefault="00B71CF0" w:rsidP="00B71CF0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Resultado por Posición Monetaria</w:t>
            </w:r>
          </w:p>
          <w:p w:rsidR="00591D9B" w:rsidRPr="00511DFF" w:rsidRDefault="00591D9B" w:rsidP="00591D9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FC435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983715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5.5.9.9</w:t>
            </w:r>
          </w:p>
          <w:p w:rsidR="00591D9B" w:rsidRPr="00511DFF" w:rsidRDefault="00B71CF0" w:rsidP="00B71CF0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Otros Gastos Varios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91D9B" w:rsidRPr="00511DFF" w:rsidRDefault="00591D9B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FC435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51874" w:rsidRPr="00511DFF" w:rsidRDefault="00983715" w:rsidP="00FC4352">
            <w:pPr>
              <w:spacing w:before="120"/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5.6.1.1</w:t>
            </w:r>
            <w:r w:rsidR="00503025" w:rsidRPr="00511DFF">
              <w:rPr>
                <w:rFonts w:ascii="Noto Sans" w:hAnsi="Noto Sans" w:cs="Noto Sans"/>
                <w:sz w:val="18"/>
                <w:szCs w:val="18"/>
              </w:rPr>
              <w:t xml:space="preserve">   </w:t>
            </w:r>
            <w:r w:rsidR="00503025" w:rsidRPr="00511DFF">
              <w:rPr>
                <w:rFonts w:ascii="Noto Sans" w:hAnsi="Noto Sans" w:cs="Noto Sans"/>
                <w:sz w:val="13"/>
                <w:szCs w:val="13"/>
              </w:rPr>
              <w:t>Construcción en bienes no Capitalizables</w:t>
            </w:r>
          </w:p>
        </w:tc>
        <w:tc>
          <w:tcPr>
            <w:tcW w:w="51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3025" w:rsidRPr="00511DFF" w:rsidRDefault="00503025" w:rsidP="00591D9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37293A" w:rsidRPr="00511DFF" w:rsidTr="00FC435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B71CF0" w:rsidRPr="00511DFF" w:rsidRDefault="00B71CF0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B71CF0" w:rsidP="007D5CA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Por el traspaso del ahorro en la Hacienda Pública/Patrimonio a la cuenta 6.2.1.</w:t>
            </w:r>
            <w:r w:rsidR="00690FEC" w:rsidRPr="00511DFF">
              <w:rPr>
                <w:rFonts w:ascii="Noto Sans" w:hAnsi="Noto Sans" w:cs="Noto Sans"/>
                <w:snapToGrid w:val="0"/>
                <w:sz w:val="18"/>
              </w:rPr>
              <w:t>1</w:t>
            </w:r>
            <w:r w:rsidRPr="00511DFF">
              <w:rPr>
                <w:rFonts w:ascii="Noto Sans" w:hAnsi="Noto Sans" w:cs="Noto Sans"/>
                <w:snapToGrid w:val="0"/>
                <w:sz w:val="18"/>
              </w:rPr>
              <w:t xml:space="preserve"> </w:t>
            </w:r>
            <w:r w:rsidR="00690FEC" w:rsidRPr="00511DFF">
              <w:rPr>
                <w:rFonts w:ascii="Noto Sans" w:hAnsi="Noto Sans" w:cs="Noto Sans"/>
                <w:snapToGrid w:val="0"/>
                <w:sz w:val="18"/>
              </w:rPr>
              <w:t>Ahorro de la Gestión</w:t>
            </w:r>
            <w:r w:rsidRPr="00511DFF">
              <w:rPr>
                <w:rFonts w:ascii="Noto Sans" w:hAnsi="Noto Sans" w:cs="Noto Sans"/>
                <w:snapToGrid w:val="0"/>
                <w:sz w:val="18"/>
              </w:rPr>
              <w:t>.</w:t>
            </w: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B71CF0" w:rsidP="00B71CF0">
            <w:pPr>
              <w:spacing w:before="120"/>
              <w:ind w:left="-18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7"/>
                <w:szCs w:val="17"/>
              </w:rPr>
              <w:t>Balanza de Comprobación</w:t>
            </w: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B71CF0" w:rsidP="00B71CF0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7838" w:rsidRPr="00511DFF" w:rsidRDefault="00217838" w:rsidP="0021783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6.1.1.1</w:t>
            </w:r>
          </w:p>
          <w:p w:rsidR="00B71CF0" w:rsidRPr="00511DFF" w:rsidRDefault="00217838" w:rsidP="00217838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Resumen de Ingresos y Egresos</w:t>
            </w:r>
          </w:p>
          <w:p w:rsidR="00A72CA1" w:rsidRPr="00511DFF" w:rsidRDefault="00A72CA1" w:rsidP="00217838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</w:t>
            </w: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7D5CAB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6.2.1.</w:t>
            </w:r>
            <w:r w:rsidR="00217838" w:rsidRPr="00511DFF">
              <w:rPr>
                <w:rFonts w:ascii="Noto Sans" w:hAnsi="Noto Sans" w:cs="Noto Sans"/>
                <w:sz w:val="18"/>
                <w:szCs w:val="18"/>
              </w:rPr>
              <w:t>1</w:t>
            </w:r>
          </w:p>
          <w:p w:rsidR="00B71CF0" w:rsidRPr="00511DFF" w:rsidRDefault="00217838" w:rsidP="00B71CF0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Ahorro de la Gestión</w:t>
            </w:r>
            <w:r w:rsidR="00B71CF0" w:rsidRPr="00511DFF">
              <w:rPr>
                <w:rFonts w:ascii="Noto Sans" w:hAnsi="Noto Sans" w:cs="Noto Sans"/>
                <w:sz w:val="13"/>
                <w:szCs w:val="13"/>
              </w:rPr>
              <w:t xml:space="preserve"> </w:t>
            </w: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B71CF0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1CF0" w:rsidRPr="00511DFF" w:rsidRDefault="00B71CF0" w:rsidP="00B71CF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72CA1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5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6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left="-18"/>
              <w:jc w:val="both"/>
              <w:rPr>
                <w:rFonts w:ascii="Noto Sans" w:hAnsi="Noto Sans" w:cs="Noto Sans"/>
                <w:snapToGrid w:val="0"/>
                <w:sz w:val="17"/>
                <w:szCs w:val="17"/>
              </w:rPr>
            </w:pPr>
          </w:p>
        </w:tc>
        <w:tc>
          <w:tcPr>
            <w:tcW w:w="4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6.1.1.2</w:t>
            </w:r>
          </w:p>
          <w:p w:rsidR="00A72CA1" w:rsidRDefault="00A72CA1" w:rsidP="00A72CA1">
            <w:pPr>
              <w:ind w:left="57" w:right="57"/>
              <w:jc w:val="center"/>
              <w:rPr>
                <w:rFonts w:ascii="Noto Sans" w:hAnsi="Noto Sans" w:cs="Noto Sans"/>
                <w:sz w:val="14"/>
                <w:szCs w:val="18"/>
              </w:rPr>
            </w:pPr>
            <w:r w:rsidRPr="00511DFF">
              <w:rPr>
                <w:rFonts w:ascii="Noto Sans" w:hAnsi="Noto Sans" w:cs="Noto Sans"/>
                <w:sz w:val="14"/>
                <w:szCs w:val="18"/>
              </w:rPr>
              <w:t>Pérdidas y Ganancias</w:t>
            </w:r>
          </w:p>
          <w:p w:rsidR="00254401" w:rsidRDefault="00254401" w:rsidP="00A72CA1">
            <w:pPr>
              <w:ind w:left="57" w:right="57"/>
              <w:jc w:val="center"/>
              <w:rPr>
                <w:rFonts w:ascii="Noto Sans" w:hAnsi="Noto Sans" w:cs="Noto Sans"/>
                <w:sz w:val="14"/>
                <w:szCs w:val="18"/>
              </w:rPr>
            </w:pPr>
          </w:p>
          <w:p w:rsidR="00254401" w:rsidRPr="00511DFF" w:rsidRDefault="00254401" w:rsidP="00A72CA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72CA1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Por el traspaso del desahorro en la Hacienda Pública/Patrimonio a la cuenta 6.3.1.1 Desahorro de la Gestión.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7"/>
                <w:szCs w:val="17"/>
              </w:rPr>
              <w:t>Balanza de Comprobación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511DFF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6.3.1.1</w:t>
            </w:r>
          </w:p>
          <w:p w:rsidR="00A72CA1" w:rsidRPr="00511DFF" w:rsidRDefault="00A72CA1" w:rsidP="00A72CA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 xml:space="preserve">Desahorro de la Gestión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6.1.1.1</w:t>
            </w:r>
          </w:p>
          <w:p w:rsidR="00A72CA1" w:rsidRPr="00511DFF" w:rsidRDefault="00A72CA1" w:rsidP="00A72CA1">
            <w:pPr>
              <w:jc w:val="center"/>
              <w:rPr>
                <w:rFonts w:ascii="Noto Sans" w:hAnsi="Noto Sans" w:cs="Noto Sans"/>
                <w:sz w:val="13"/>
                <w:szCs w:val="13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Resumen de Ingresos y Egresos</w:t>
            </w:r>
          </w:p>
          <w:p w:rsidR="00A72CA1" w:rsidRPr="00511DFF" w:rsidRDefault="00A72CA1" w:rsidP="00A72CA1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511DFF">
              <w:rPr>
                <w:rFonts w:ascii="Noto Sans" w:hAnsi="Noto Sans" w:cs="Noto Sans"/>
                <w:sz w:val="13"/>
                <w:szCs w:val="13"/>
              </w:rPr>
              <w:t>o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72CA1" w:rsidRPr="00511DFF" w:rsidTr="0025440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988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8"/>
                <w:szCs w:val="18"/>
              </w:rPr>
              <w:t>6.1.1.2</w:t>
            </w:r>
          </w:p>
          <w:p w:rsidR="00A72CA1" w:rsidRPr="00511DFF" w:rsidRDefault="00A72CA1" w:rsidP="00A72CA1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511DFF">
              <w:rPr>
                <w:rFonts w:ascii="Noto Sans" w:hAnsi="Noto Sans" w:cs="Noto Sans"/>
                <w:sz w:val="14"/>
                <w:szCs w:val="18"/>
              </w:rPr>
              <w:t>Pérdidas y Ganancias</w:t>
            </w:r>
          </w:p>
        </w:tc>
        <w:tc>
          <w:tcPr>
            <w:tcW w:w="5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A1" w:rsidRPr="00511DFF" w:rsidRDefault="00A72CA1" w:rsidP="00A72CA1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511DFF" w:rsidRDefault="00E8591C" w:rsidP="007F2D64">
      <w:pPr>
        <w:rPr>
          <w:rFonts w:ascii="Noto Sans" w:hAnsi="Noto Sans" w:cs="Noto Sans"/>
          <w:sz w:val="8"/>
        </w:rPr>
      </w:pPr>
    </w:p>
    <w:sectPr w:rsidR="00E8591C" w:rsidRPr="00511DFF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3A8C" w:rsidRDefault="00C03A8C">
      <w:r>
        <w:separator/>
      </w:r>
    </w:p>
  </w:endnote>
  <w:endnote w:type="continuationSeparator" w:id="0">
    <w:p w:rsidR="00C03A8C" w:rsidRDefault="00C0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charset w:val="00"/>
    <w:family w:val="auto"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1DFF" w:rsidRDefault="00511DFF" w:rsidP="00511DFF">
    <w:pPr>
      <w:pStyle w:val="Piedepgina"/>
      <w:jc w:val="right"/>
      <w:rPr>
        <w:rFonts w:ascii="Noto Sans" w:hAnsi="Noto Sans" w:cs="Noto Sans"/>
        <w:b/>
        <w:sz w:val="16"/>
      </w:rPr>
    </w:pPr>
  </w:p>
  <w:p w:rsidR="00511DFF" w:rsidRDefault="00511DFF" w:rsidP="00511DFF">
    <w:pPr>
      <w:pStyle w:val="Piedepgina"/>
      <w:jc w:val="right"/>
      <w:rPr>
        <w:rFonts w:ascii="Noto Sans" w:hAnsi="Noto Sans" w:cs="Noto Sans"/>
        <w:b/>
        <w:sz w:val="16"/>
      </w:rPr>
    </w:pPr>
  </w:p>
  <w:p w:rsidR="00511DFF" w:rsidRDefault="00511DFF" w:rsidP="00511DFF">
    <w:pPr>
      <w:pStyle w:val="Piedepgina"/>
      <w:jc w:val="right"/>
      <w:rPr>
        <w:rFonts w:ascii="Noto Sans" w:hAnsi="Noto Sans" w:cs="Noto Sans"/>
        <w:b/>
        <w:sz w:val="16"/>
      </w:rPr>
    </w:pPr>
  </w:p>
  <w:p w:rsidR="00511DFF" w:rsidRDefault="00511DFF" w:rsidP="00511DFF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511DFF" w:rsidRDefault="0003013F" w:rsidP="00511DFF">
    <w:pPr>
      <w:pStyle w:val="Piedepgina"/>
      <w:jc w:val="right"/>
      <w:rPr>
        <w:rFonts w:ascii="Noto Sans" w:hAnsi="Noto Sans" w:cs="Noto Sans"/>
        <w:b/>
        <w:sz w:val="16"/>
      </w:rPr>
    </w:pPr>
    <w:r w:rsidRPr="00511DFF">
      <w:rPr>
        <w:rFonts w:ascii="Noto Sans" w:hAnsi="Noto Sans" w:cs="Noto Sans"/>
        <w:b/>
        <w:sz w:val="16"/>
      </w:rPr>
      <w:fldChar w:fldCharType="begin"/>
    </w:r>
    <w:r w:rsidR="00D5126F" w:rsidRPr="00511DFF">
      <w:rPr>
        <w:rFonts w:ascii="Noto Sans" w:hAnsi="Noto Sans" w:cs="Noto Sans"/>
        <w:b/>
        <w:sz w:val="16"/>
      </w:rPr>
      <w:instrText xml:space="preserve"> PAGE   \* MERGEFORMAT </w:instrText>
    </w:r>
    <w:r w:rsidRPr="00511DFF">
      <w:rPr>
        <w:rFonts w:ascii="Noto Sans" w:hAnsi="Noto Sans" w:cs="Noto Sans"/>
        <w:b/>
        <w:sz w:val="16"/>
      </w:rPr>
      <w:fldChar w:fldCharType="separate"/>
    </w:r>
    <w:r w:rsidR="00254401">
      <w:rPr>
        <w:rFonts w:ascii="Noto Sans" w:hAnsi="Noto Sans" w:cs="Noto Sans"/>
        <w:b/>
        <w:noProof/>
        <w:sz w:val="16"/>
      </w:rPr>
      <w:t>9</w:t>
    </w:r>
    <w:r w:rsidRPr="00511DFF">
      <w:rPr>
        <w:rFonts w:ascii="Noto Sans" w:hAnsi="Noto Sans" w:cs="Noto Sans"/>
        <w:b/>
        <w:sz w:val="16"/>
      </w:rPr>
      <w:fldChar w:fldCharType="end"/>
    </w:r>
  </w:p>
  <w:p w:rsidR="005A3F93" w:rsidRPr="00511DFF" w:rsidRDefault="005A3F93" w:rsidP="00511DFF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511DFF">
      <w:rPr>
        <w:rFonts w:ascii="Noto Sans" w:hAnsi="Noto Sans" w:cs="Noto Sans"/>
        <w:b/>
        <w:sz w:val="16"/>
        <w:szCs w:val="16"/>
      </w:rPr>
      <w:t>VIGENTE A PARTIR DEL 01-01-202</w:t>
    </w:r>
    <w:r w:rsidR="0035724C" w:rsidRPr="00511DFF">
      <w:rPr>
        <w:rFonts w:ascii="Noto Sans" w:hAnsi="Noto Sans" w:cs="Noto Sans"/>
        <w:b/>
        <w:sz w:val="16"/>
        <w:szCs w:val="16"/>
      </w:rPr>
      <w:t>5</w:t>
    </w:r>
  </w:p>
  <w:p w:rsidR="005A3F93" w:rsidRPr="00511DFF" w:rsidRDefault="005A3F93" w:rsidP="00511DFF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511DFF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5A3F93" w:rsidRPr="00511DFF" w:rsidRDefault="005A3F93" w:rsidP="00511DFF">
    <w:pPr>
      <w:pStyle w:val="Piedepgina"/>
      <w:jc w:val="right"/>
      <w:rPr>
        <w:rFonts w:ascii="Noto Sans" w:hAnsi="Noto Sans" w:cs="Noto Sans"/>
        <w:b/>
        <w:sz w:val="16"/>
      </w:rPr>
    </w:pPr>
    <w:r w:rsidRPr="00511DFF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511DFF" w:rsidRDefault="007F2D64" w:rsidP="00511DFF">
    <w:pPr>
      <w:pStyle w:val="Encabezado"/>
      <w:spacing w:line="240" w:lineRule="atLeast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3A8C" w:rsidRDefault="00C03A8C">
      <w:r>
        <w:separator/>
      </w:r>
    </w:p>
  </w:footnote>
  <w:footnote w:type="continuationSeparator" w:id="0">
    <w:p w:rsidR="00C03A8C" w:rsidRDefault="00C0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3D2" w:rsidRDefault="00511DFF" w:rsidP="00B123D2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14DDB160" wp14:editId="17EA5AD0">
          <wp:simplePos x="0" y="0"/>
          <wp:positionH relativeFrom="page">
            <wp:posOffset>-21946</wp:posOffset>
          </wp:positionH>
          <wp:positionV relativeFrom="paragraph">
            <wp:posOffset>-599060</wp:posOffset>
          </wp:positionV>
          <wp:extent cx="7795260" cy="10380269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7035" cy="10382633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5B195600">
              <wp:simplePos x="0" y="0"/>
              <wp:positionH relativeFrom="margin">
                <wp:posOffset>2210638</wp:posOffset>
              </wp:positionH>
              <wp:positionV relativeFrom="paragraph">
                <wp:posOffset>10592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2152" w:rsidRPr="00511DFF" w:rsidRDefault="00ED2152" w:rsidP="00ED2152">
                          <w:pPr>
                            <w:spacing w:line="180" w:lineRule="exact"/>
                            <w:jc w:val="right"/>
                            <w:rPr>
                              <w:rFonts w:ascii="Noto Sans" w:hAnsi="Noto Sans" w:cs="Noto Sans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ED2152" w:rsidRPr="00511DFF" w:rsidRDefault="00ED2152" w:rsidP="00ED215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511DFF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ED2152" w:rsidRPr="00511DFF" w:rsidRDefault="00ED2152" w:rsidP="00ED2152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511DFF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ED2152" w:rsidRPr="00511DFF" w:rsidRDefault="00ED2152" w:rsidP="00ED2152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Noto Sans" w:hAnsi="Noto Sans" w:cs="Noto Sans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74.05pt;margin-top:.85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phMtNNwAAAAI&#10;AQAADwAAAAAAAAAAAAAAAAAPBQAAZHJzL2Rvd25yZXYueG1sUEsFBgAAAAAEAAQA8wAAABgGAAAA&#10;AA==&#10;" filled="f" stroked="f" strokeweight="3e-5mm">
              <v:textbox>
                <w:txbxContent>
                  <w:p w:rsidR="00ED2152" w:rsidRPr="00511DFF" w:rsidRDefault="00ED2152" w:rsidP="00ED2152">
                    <w:pPr>
                      <w:spacing w:line="180" w:lineRule="exact"/>
                      <w:jc w:val="right"/>
                      <w:rPr>
                        <w:rFonts w:ascii="Noto Sans" w:hAnsi="Noto Sans" w:cs="Noto Sans"/>
                        <w:color w:val="7F7F7F"/>
                        <w:sz w:val="18"/>
                        <w:szCs w:val="18"/>
                      </w:rPr>
                    </w:pPr>
                  </w:p>
                  <w:p w:rsidR="00ED2152" w:rsidRPr="00511DFF" w:rsidRDefault="00ED2152" w:rsidP="00ED215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511DFF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ED2152" w:rsidRPr="00511DFF" w:rsidRDefault="00ED2152" w:rsidP="00ED2152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511DFF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ED2152" w:rsidRPr="00511DFF" w:rsidRDefault="00ED2152" w:rsidP="00ED2152">
                    <w:pPr>
                      <w:pStyle w:val="Encabezado"/>
                      <w:spacing w:line="240" w:lineRule="atLeast"/>
                      <w:jc w:val="right"/>
                      <w:rPr>
                        <w:rFonts w:ascii="Noto Sans" w:hAnsi="Noto Sans" w:cs="Noto Sans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B123D2" w:rsidRDefault="00B123D2" w:rsidP="00B123D2">
    <w:pPr>
      <w:rPr>
        <w:rFonts w:ascii="Soberana Sans Light" w:hAnsi="Soberana Sans Light"/>
        <w:b/>
        <w:color w:val="7F7F7F"/>
        <w:sz w:val="16"/>
        <w:szCs w:val="18"/>
      </w:rPr>
    </w:pPr>
  </w:p>
  <w:p w:rsidR="00B123D2" w:rsidRDefault="00B123D2" w:rsidP="00B123D2">
    <w:pPr>
      <w:rPr>
        <w:rFonts w:ascii="Soberana Sans Light" w:hAnsi="Soberana Sans Light"/>
        <w:b/>
        <w:color w:val="7F7F7F"/>
        <w:sz w:val="16"/>
        <w:szCs w:val="18"/>
      </w:rPr>
    </w:pPr>
  </w:p>
  <w:p w:rsidR="00B123D2" w:rsidRDefault="00B123D2" w:rsidP="00B123D2">
    <w:pPr>
      <w:rPr>
        <w:rFonts w:ascii="Soberana Sans Light" w:hAnsi="Soberana Sans Light"/>
        <w:b/>
        <w:color w:val="7F7F7F"/>
        <w:sz w:val="16"/>
        <w:szCs w:val="18"/>
      </w:rPr>
    </w:pPr>
  </w:p>
  <w:p w:rsidR="00B123D2" w:rsidRPr="0035724C" w:rsidRDefault="00B123D2" w:rsidP="00B123D2">
    <w:pPr>
      <w:rPr>
        <w:rFonts w:ascii="Geomanist" w:hAnsi="Geomanist"/>
        <w:b/>
        <w:color w:val="7F7F7F"/>
        <w:sz w:val="16"/>
        <w:szCs w:val="18"/>
      </w:rPr>
    </w:pPr>
  </w:p>
  <w:p w:rsidR="00B123D2" w:rsidRPr="0035724C" w:rsidRDefault="00B123D2" w:rsidP="00B123D2">
    <w:pPr>
      <w:rPr>
        <w:rFonts w:ascii="Geomanist" w:hAnsi="Geomanis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B123D2" w:rsidRPr="00511DFF" w:rsidTr="00511DFF">
      <w:trPr>
        <w:trHeight w:val="227"/>
      </w:trPr>
      <w:tc>
        <w:tcPr>
          <w:tcW w:w="5000" w:type="pct"/>
          <w:shd w:val="clear" w:color="auto" w:fill="auto"/>
          <w:vAlign w:val="center"/>
          <w:hideMark/>
        </w:tcPr>
        <w:p w:rsidR="00B123D2" w:rsidRPr="00511DFF" w:rsidRDefault="00ED2152" w:rsidP="00B123D2">
          <w:pPr>
            <w:pStyle w:val="Ttulo9"/>
            <w:spacing w:before="60" w:after="60"/>
            <w:rPr>
              <w:rFonts w:ascii="Noto Sans" w:hAnsi="Noto Sans" w:cs="Noto Sans"/>
              <w:spacing w:val="20"/>
            </w:rPr>
          </w:pPr>
          <w:r w:rsidRPr="00511DFF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B123D2" w:rsidRPr="00511DFF" w:rsidRDefault="00B123D2" w:rsidP="00B123D2">
    <w:pPr>
      <w:pStyle w:val="Encabezado"/>
      <w:rPr>
        <w:rFonts w:ascii="Noto Sans" w:hAnsi="Noto Sans" w:cs="Noto Sans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511DFF" w:rsidTr="008604B6">
      <w:trPr>
        <w:trHeight w:val="231"/>
      </w:trPr>
      <w:tc>
        <w:tcPr>
          <w:tcW w:w="5000" w:type="pct"/>
          <w:vAlign w:val="center"/>
        </w:tcPr>
        <w:p w:rsidR="0033612D" w:rsidRPr="00511DFF" w:rsidRDefault="00017AE8" w:rsidP="00444A08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511DFF">
            <w:rPr>
              <w:rFonts w:ascii="Noto Sans" w:hAnsi="Noto Sans" w:cs="Noto Sans"/>
              <w:sz w:val="18"/>
              <w:szCs w:val="22"/>
              <w:lang w:val="es-MX" w:eastAsia="en-US"/>
            </w:rPr>
            <w:t>9</w:t>
          </w:r>
          <w:r w:rsidR="00444A08" w:rsidRPr="00511DFF">
            <w:rPr>
              <w:rFonts w:ascii="Noto Sans" w:hAnsi="Noto Sans" w:cs="Noto Sans"/>
              <w:sz w:val="18"/>
              <w:szCs w:val="22"/>
              <w:lang w:val="es-MX" w:eastAsia="en-US"/>
            </w:rPr>
            <w:t>7</w:t>
          </w:r>
          <w:r w:rsidR="0053292E" w:rsidRPr="00511DFF">
            <w:rPr>
              <w:rFonts w:ascii="Noto Sans" w:hAnsi="Noto Sans" w:cs="Noto Sans"/>
              <w:sz w:val="18"/>
              <w:szCs w:val="22"/>
              <w:lang w:val="es-MX" w:eastAsia="en-US"/>
            </w:rPr>
            <w:t xml:space="preserve">.- </w:t>
          </w:r>
          <w:r w:rsidR="00FD1BEA" w:rsidRPr="00511DFF">
            <w:rPr>
              <w:rFonts w:ascii="Noto Sans" w:hAnsi="Noto Sans" w:cs="Noto Sans"/>
              <w:sz w:val="18"/>
              <w:szCs w:val="22"/>
              <w:lang w:val="es-MX" w:eastAsia="en-US"/>
            </w:rPr>
            <w:t xml:space="preserve">CIERRE DE </w:t>
          </w:r>
          <w:r w:rsidRPr="00511DFF">
            <w:rPr>
              <w:rFonts w:ascii="Noto Sans" w:hAnsi="Noto Sans" w:cs="Noto Sans"/>
              <w:sz w:val="18"/>
              <w:szCs w:val="22"/>
              <w:lang w:val="es-MX" w:eastAsia="en-US"/>
            </w:rPr>
            <w:t xml:space="preserve">CUENTAS </w:t>
          </w:r>
          <w:r w:rsidR="00444A08" w:rsidRPr="00511DFF">
            <w:rPr>
              <w:rFonts w:ascii="Noto Sans" w:hAnsi="Noto Sans" w:cs="Noto Sans"/>
              <w:sz w:val="18"/>
              <w:szCs w:val="22"/>
              <w:lang w:val="es-MX" w:eastAsia="en-US"/>
            </w:rPr>
            <w:t>DE INGRESO Y GASTO</w:t>
          </w:r>
        </w:p>
      </w:tc>
    </w:tr>
  </w:tbl>
  <w:p w:rsidR="0033612D" w:rsidRPr="00511DFF" w:rsidRDefault="0033612D" w:rsidP="002657F3">
    <w:pPr>
      <w:pStyle w:val="Encabezado"/>
      <w:rPr>
        <w:rFonts w:ascii="Noto Sans" w:hAnsi="Noto Sans" w:cs="Noto Sans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5D56"/>
    <w:rsid w:val="000060B1"/>
    <w:rsid w:val="00007911"/>
    <w:rsid w:val="00012B9F"/>
    <w:rsid w:val="00016D5D"/>
    <w:rsid w:val="00017AE8"/>
    <w:rsid w:val="00017BA0"/>
    <w:rsid w:val="000217BB"/>
    <w:rsid w:val="0002255E"/>
    <w:rsid w:val="00022860"/>
    <w:rsid w:val="0003013F"/>
    <w:rsid w:val="000313F6"/>
    <w:rsid w:val="0003378C"/>
    <w:rsid w:val="0004475E"/>
    <w:rsid w:val="00044953"/>
    <w:rsid w:val="00045F98"/>
    <w:rsid w:val="00050083"/>
    <w:rsid w:val="00051FAA"/>
    <w:rsid w:val="00063A84"/>
    <w:rsid w:val="00067C2C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6274"/>
    <w:rsid w:val="00120CA5"/>
    <w:rsid w:val="00121917"/>
    <w:rsid w:val="001232BD"/>
    <w:rsid w:val="0012786C"/>
    <w:rsid w:val="00131A05"/>
    <w:rsid w:val="001330FB"/>
    <w:rsid w:val="001373C7"/>
    <w:rsid w:val="001373DF"/>
    <w:rsid w:val="00145715"/>
    <w:rsid w:val="00146896"/>
    <w:rsid w:val="001500F9"/>
    <w:rsid w:val="00151AA6"/>
    <w:rsid w:val="00161658"/>
    <w:rsid w:val="00161896"/>
    <w:rsid w:val="00165569"/>
    <w:rsid w:val="001708B6"/>
    <w:rsid w:val="00172E89"/>
    <w:rsid w:val="00175F56"/>
    <w:rsid w:val="00177A68"/>
    <w:rsid w:val="001821F9"/>
    <w:rsid w:val="00182421"/>
    <w:rsid w:val="00184E2B"/>
    <w:rsid w:val="00190FDA"/>
    <w:rsid w:val="00192E34"/>
    <w:rsid w:val="00193347"/>
    <w:rsid w:val="001A6035"/>
    <w:rsid w:val="001A6A0F"/>
    <w:rsid w:val="001B2276"/>
    <w:rsid w:val="001B24DD"/>
    <w:rsid w:val="001B3DE9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F538D"/>
    <w:rsid w:val="00200017"/>
    <w:rsid w:val="00201881"/>
    <w:rsid w:val="0020787F"/>
    <w:rsid w:val="00207DEA"/>
    <w:rsid w:val="00207F46"/>
    <w:rsid w:val="00207F77"/>
    <w:rsid w:val="00210A43"/>
    <w:rsid w:val="00211D49"/>
    <w:rsid w:val="00214F18"/>
    <w:rsid w:val="002160BD"/>
    <w:rsid w:val="00217838"/>
    <w:rsid w:val="002207A7"/>
    <w:rsid w:val="002217A8"/>
    <w:rsid w:val="00224156"/>
    <w:rsid w:val="00230507"/>
    <w:rsid w:val="00232822"/>
    <w:rsid w:val="0023681E"/>
    <w:rsid w:val="00240CEF"/>
    <w:rsid w:val="002472E9"/>
    <w:rsid w:val="00247378"/>
    <w:rsid w:val="00254401"/>
    <w:rsid w:val="002657F3"/>
    <w:rsid w:val="00266904"/>
    <w:rsid w:val="00267784"/>
    <w:rsid w:val="00272360"/>
    <w:rsid w:val="00275E76"/>
    <w:rsid w:val="002853D7"/>
    <w:rsid w:val="00286133"/>
    <w:rsid w:val="002917DB"/>
    <w:rsid w:val="00293F92"/>
    <w:rsid w:val="00297772"/>
    <w:rsid w:val="002A479F"/>
    <w:rsid w:val="002A4A19"/>
    <w:rsid w:val="002A4CDD"/>
    <w:rsid w:val="002A66C1"/>
    <w:rsid w:val="002B1F20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5724C"/>
    <w:rsid w:val="00357DA4"/>
    <w:rsid w:val="003605F0"/>
    <w:rsid w:val="003627A7"/>
    <w:rsid w:val="003667A8"/>
    <w:rsid w:val="00367F35"/>
    <w:rsid w:val="0037293A"/>
    <w:rsid w:val="003737A3"/>
    <w:rsid w:val="00374BC8"/>
    <w:rsid w:val="00383B12"/>
    <w:rsid w:val="0038687A"/>
    <w:rsid w:val="00387892"/>
    <w:rsid w:val="0039224B"/>
    <w:rsid w:val="00392E5E"/>
    <w:rsid w:val="003A0593"/>
    <w:rsid w:val="003A172F"/>
    <w:rsid w:val="003A23BF"/>
    <w:rsid w:val="003A5334"/>
    <w:rsid w:val="003B1345"/>
    <w:rsid w:val="003B3E08"/>
    <w:rsid w:val="003C02EB"/>
    <w:rsid w:val="003C0BA3"/>
    <w:rsid w:val="003C22CB"/>
    <w:rsid w:val="003D0CC3"/>
    <w:rsid w:val="003E4C9A"/>
    <w:rsid w:val="003E7542"/>
    <w:rsid w:val="003E7642"/>
    <w:rsid w:val="003F0EF2"/>
    <w:rsid w:val="003F203D"/>
    <w:rsid w:val="003F4D23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7E6E"/>
    <w:rsid w:val="00441CF4"/>
    <w:rsid w:val="00444A08"/>
    <w:rsid w:val="00446223"/>
    <w:rsid w:val="004470FB"/>
    <w:rsid w:val="00447755"/>
    <w:rsid w:val="00450558"/>
    <w:rsid w:val="00455A9B"/>
    <w:rsid w:val="00462219"/>
    <w:rsid w:val="00464479"/>
    <w:rsid w:val="00467859"/>
    <w:rsid w:val="0047327A"/>
    <w:rsid w:val="00473A8E"/>
    <w:rsid w:val="00474CD0"/>
    <w:rsid w:val="00475B3A"/>
    <w:rsid w:val="004807C9"/>
    <w:rsid w:val="00481478"/>
    <w:rsid w:val="00492022"/>
    <w:rsid w:val="00493203"/>
    <w:rsid w:val="004972A2"/>
    <w:rsid w:val="004A2DC1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F06F5"/>
    <w:rsid w:val="004F71A5"/>
    <w:rsid w:val="004F7960"/>
    <w:rsid w:val="005021AC"/>
    <w:rsid w:val="00503025"/>
    <w:rsid w:val="00511DFF"/>
    <w:rsid w:val="00512979"/>
    <w:rsid w:val="00513563"/>
    <w:rsid w:val="0053292E"/>
    <w:rsid w:val="00534466"/>
    <w:rsid w:val="00541508"/>
    <w:rsid w:val="00541A0D"/>
    <w:rsid w:val="00541E8A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73A2"/>
    <w:rsid w:val="00590F6E"/>
    <w:rsid w:val="00591D9B"/>
    <w:rsid w:val="005A2737"/>
    <w:rsid w:val="005A3AA4"/>
    <w:rsid w:val="005A3F93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2B1E"/>
    <w:rsid w:val="005F0789"/>
    <w:rsid w:val="005F1CFA"/>
    <w:rsid w:val="005F45B0"/>
    <w:rsid w:val="005F52CF"/>
    <w:rsid w:val="005F7B94"/>
    <w:rsid w:val="00604350"/>
    <w:rsid w:val="00610FE2"/>
    <w:rsid w:val="00611622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499A"/>
    <w:rsid w:val="00667251"/>
    <w:rsid w:val="00670993"/>
    <w:rsid w:val="006822B8"/>
    <w:rsid w:val="00683F0C"/>
    <w:rsid w:val="00684D3F"/>
    <w:rsid w:val="00685EAF"/>
    <w:rsid w:val="006866E0"/>
    <w:rsid w:val="00686EE6"/>
    <w:rsid w:val="00690FEC"/>
    <w:rsid w:val="0069227C"/>
    <w:rsid w:val="00694F01"/>
    <w:rsid w:val="006A25F9"/>
    <w:rsid w:val="006A3918"/>
    <w:rsid w:val="006A529A"/>
    <w:rsid w:val="006B22E9"/>
    <w:rsid w:val="006B3FC2"/>
    <w:rsid w:val="006B5972"/>
    <w:rsid w:val="006C5164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33B3"/>
    <w:rsid w:val="0070414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79E4"/>
    <w:rsid w:val="0074052A"/>
    <w:rsid w:val="00752AD3"/>
    <w:rsid w:val="007556E8"/>
    <w:rsid w:val="0075684B"/>
    <w:rsid w:val="00757A21"/>
    <w:rsid w:val="00757C8A"/>
    <w:rsid w:val="00763920"/>
    <w:rsid w:val="00767478"/>
    <w:rsid w:val="007707A9"/>
    <w:rsid w:val="00777FC0"/>
    <w:rsid w:val="00781569"/>
    <w:rsid w:val="007837AA"/>
    <w:rsid w:val="00784919"/>
    <w:rsid w:val="007A380D"/>
    <w:rsid w:val="007B0369"/>
    <w:rsid w:val="007B6291"/>
    <w:rsid w:val="007C719F"/>
    <w:rsid w:val="007D13FD"/>
    <w:rsid w:val="007D2C77"/>
    <w:rsid w:val="007D40BD"/>
    <w:rsid w:val="007D422E"/>
    <w:rsid w:val="007D4CBE"/>
    <w:rsid w:val="007D5CAB"/>
    <w:rsid w:val="007D74BA"/>
    <w:rsid w:val="007E2F87"/>
    <w:rsid w:val="007E418E"/>
    <w:rsid w:val="007E5432"/>
    <w:rsid w:val="007F1ABE"/>
    <w:rsid w:val="007F1C94"/>
    <w:rsid w:val="007F2D64"/>
    <w:rsid w:val="008027E0"/>
    <w:rsid w:val="0080328C"/>
    <w:rsid w:val="008060C5"/>
    <w:rsid w:val="00810AF1"/>
    <w:rsid w:val="00813DC6"/>
    <w:rsid w:val="0081599D"/>
    <w:rsid w:val="00816EED"/>
    <w:rsid w:val="008230D5"/>
    <w:rsid w:val="00823668"/>
    <w:rsid w:val="00824238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677DE"/>
    <w:rsid w:val="00874AF0"/>
    <w:rsid w:val="0088515A"/>
    <w:rsid w:val="0088537B"/>
    <w:rsid w:val="0088539F"/>
    <w:rsid w:val="008904FB"/>
    <w:rsid w:val="00892B7A"/>
    <w:rsid w:val="00895F88"/>
    <w:rsid w:val="008A739F"/>
    <w:rsid w:val="008B12B3"/>
    <w:rsid w:val="008C152D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4795"/>
    <w:rsid w:val="008F647D"/>
    <w:rsid w:val="00901DFC"/>
    <w:rsid w:val="00902509"/>
    <w:rsid w:val="0090266E"/>
    <w:rsid w:val="00904329"/>
    <w:rsid w:val="00904971"/>
    <w:rsid w:val="00907ED3"/>
    <w:rsid w:val="00910402"/>
    <w:rsid w:val="00913FD6"/>
    <w:rsid w:val="00930AED"/>
    <w:rsid w:val="009343D8"/>
    <w:rsid w:val="0094451A"/>
    <w:rsid w:val="00944DC2"/>
    <w:rsid w:val="009506D9"/>
    <w:rsid w:val="00955987"/>
    <w:rsid w:val="00964EFD"/>
    <w:rsid w:val="009662D2"/>
    <w:rsid w:val="009672A6"/>
    <w:rsid w:val="009678ED"/>
    <w:rsid w:val="00970A06"/>
    <w:rsid w:val="00974E47"/>
    <w:rsid w:val="00977AC4"/>
    <w:rsid w:val="009809FA"/>
    <w:rsid w:val="00983715"/>
    <w:rsid w:val="0099603A"/>
    <w:rsid w:val="009A0949"/>
    <w:rsid w:val="009A40AE"/>
    <w:rsid w:val="009A69B1"/>
    <w:rsid w:val="009B1592"/>
    <w:rsid w:val="009B670B"/>
    <w:rsid w:val="009C03FF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20A33"/>
    <w:rsid w:val="00A26E4F"/>
    <w:rsid w:val="00A37510"/>
    <w:rsid w:val="00A44D8A"/>
    <w:rsid w:val="00A46CD6"/>
    <w:rsid w:val="00A56FA5"/>
    <w:rsid w:val="00A709E8"/>
    <w:rsid w:val="00A72CA1"/>
    <w:rsid w:val="00A75262"/>
    <w:rsid w:val="00A80FCB"/>
    <w:rsid w:val="00A81DBB"/>
    <w:rsid w:val="00A82D2A"/>
    <w:rsid w:val="00A82D38"/>
    <w:rsid w:val="00A83DF4"/>
    <w:rsid w:val="00A918C9"/>
    <w:rsid w:val="00A947DC"/>
    <w:rsid w:val="00A94B1F"/>
    <w:rsid w:val="00A97007"/>
    <w:rsid w:val="00AA1EFF"/>
    <w:rsid w:val="00AB1C37"/>
    <w:rsid w:val="00AB761C"/>
    <w:rsid w:val="00AC0BE1"/>
    <w:rsid w:val="00AC6F5D"/>
    <w:rsid w:val="00AD4A8E"/>
    <w:rsid w:val="00AD63FC"/>
    <w:rsid w:val="00AE1510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3D2"/>
    <w:rsid w:val="00B12A65"/>
    <w:rsid w:val="00B12B85"/>
    <w:rsid w:val="00B16A9D"/>
    <w:rsid w:val="00B30450"/>
    <w:rsid w:val="00B31761"/>
    <w:rsid w:val="00B43C94"/>
    <w:rsid w:val="00B47A1E"/>
    <w:rsid w:val="00B51643"/>
    <w:rsid w:val="00B51874"/>
    <w:rsid w:val="00B51A80"/>
    <w:rsid w:val="00B53DFD"/>
    <w:rsid w:val="00B6520D"/>
    <w:rsid w:val="00B71CF0"/>
    <w:rsid w:val="00B72CAC"/>
    <w:rsid w:val="00B76729"/>
    <w:rsid w:val="00B863D3"/>
    <w:rsid w:val="00B916E2"/>
    <w:rsid w:val="00B94269"/>
    <w:rsid w:val="00BA177E"/>
    <w:rsid w:val="00BA76D4"/>
    <w:rsid w:val="00BB05F5"/>
    <w:rsid w:val="00BB1F91"/>
    <w:rsid w:val="00BB2346"/>
    <w:rsid w:val="00BB612D"/>
    <w:rsid w:val="00BB7498"/>
    <w:rsid w:val="00BC19D8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3A8C"/>
    <w:rsid w:val="00C07A3A"/>
    <w:rsid w:val="00C11F10"/>
    <w:rsid w:val="00C15B77"/>
    <w:rsid w:val="00C27508"/>
    <w:rsid w:val="00C335BA"/>
    <w:rsid w:val="00C35223"/>
    <w:rsid w:val="00C40081"/>
    <w:rsid w:val="00C42ED8"/>
    <w:rsid w:val="00C43C98"/>
    <w:rsid w:val="00C44BBA"/>
    <w:rsid w:val="00C4537B"/>
    <w:rsid w:val="00C467A4"/>
    <w:rsid w:val="00C57015"/>
    <w:rsid w:val="00C655B9"/>
    <w:rsid w:val="00C70286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C2BE4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332A"/>
    <w:rsid w:val="00D37902"/>
    <w:rsid w:val="00D400B0"/>
    <w:rsid w:val="00D40DF2"/>
    <w:rsid w:val="00D412B1"/>
    <w:rsid w:val="00D508C2"/>
    <w:rsid w:val="00D5126F"/>
    <w:rsid w:val="00D51570"/>
    <w:rsid w:val="00D52152"/>
    <w:rsid w:val="00D52C8C"/>
    <w:rsid w:val="00D55F73"/>
    <w:rsid w:val="00D573AB"/>
    <w:rsid w:val="00D74C32"/>
    <w:rsid w:val="00D85C21"/>
    <w:rsid w:val="00D8621D"/>
    <w:rsid w:val="00D864EB"/>
    <w:rsid w:val="00D86C25"/>
    <w:rsid w:val="00D9054E"/>
    <w:rsid w:val="00D93819"/>
    <w:rsid w:val="00D95201"/>
    <w:rsid w:val="00D96683"/>
    <w:rsid w:val="00D97A8A"/>
    <w:rsid w:val="00DA49C6"/>
    <w:rsid w:val="00DB34CC"/>
    <w:rsid w:val="00DB3B97"/>
    <w:rsid w:val="00DB3F21"/>
    <w:rsid w:val="00DB5610"/>
    <w:rsid w:val="00DC159C"/>
    <w:rsid w:val="00DC6AE2"/>
    <w:rsid w:val="00DC6E23"/>
    <w:rsid w:val="00DD295A"/>
    <w:rsid w:val="00DD676D"/>
    <w:rsid w:val="00DE1B91"/>
    <w:rsid w:val="00DE3AFB"/>
    <w:rsid w:val="00E0031B"/>
    <w:rsid w:val="00E039C4"/>
    <w:rsid w:val="00E178B8"/>
    <w:rsid w:val="00E44635"/>
    <w:rsid w:val="00E44893"/>
    <w:rsid w:val="00E45BF6"/>
    <w:rsid w:val="00E47BD7"/>
    <w:rsid w:val="00E538C4"/>
    <w:rsid w:val="00E61FD8"/>
    <w:rsid w:val="00E62BFE"/>
    <w:rsid w:val="00E63DC3"/>
    <w:rsid w:val="00E663B6"/>
    <w:rsid w:val="00E75BB7"/>
    <w:rsid w:val="00E77831"/>
    <w:rsid w:val="00E8591C"/>
    <w:rsid w:val="00E87D23"/>
    <w:rsid w:val="00E90BBD"/>
    <w:rsid w:val="00E92537"/>
    <w:rsid w:val="00E94F4A"/>
    <w:rsid w:val="00E95E25"/>
    <w:rsid w:val="00EA5789"/>
    <w:rsid w:val="00EA7393"/>
    <w:rsid w:val="00EA7CBC"/>
    <w:rsid w:val="00EB30BC"/>
    <w:rsid w:val="00EB428E"/>
    <w:rsid w:val="00EB63B6"/>
    <w:rsid w:val="00EC080B"/>
    <w:rsid w:val="00EC0B96"/>
    <w:rsid w:val="00ED2152"/>
    <w:rsid w:val="00EE1CC1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53D7"/>
    <w:rsid w:val="00F33624"/>
    <w:rsid w:val="00F3514C"/>
    <w:rsid w:val="00F37F4E"/>
    <w:rsid w:val="00F41651"/>
    <w:rsid w:val="00F564CC"/>
    <w:rsid w:val="00F625AE"/>
    <w:rsid w:val="00F652B3"/>
    <w:rsid w:val="00F665E9"/>
    <w:rsid w:val="00F66AEE"/>
    <w:rsid w:val="00F7031F"/>
    <w:rsid w:val="00F719FE"/>
    <w:rsid w:val="00F71D26"/>
    <w:rsid w:val="00F72BA5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4352"/>
    <w:rsid w:val="00FC6922"/>
    <w:rsid w:val="00FD13F0"/>
    <w:rsid w:val="00FD1BEA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776A0AA8"/>
  <w15:chartTrackingRefBased/>
  <w15:docId w15:val="{1F634DE8-2466-4F6F-8404-04D6ED80D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715C6-3B0F-4E87-978A-ABD706F18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657</Words>
  <Characters>4784</Characters>
  <Application>Microsoft Office Word</Application>
  <DocSecurity>0</DocSecurity>
  <Lines>39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5</cp:revision>
  <cp:lastPrinted>2023-03-03T16:59:00Z</cp:lastPrinted>
  <dcterms:created xsi:type="dcterms:W3CDTF">2024-10-24T23:18:00Z</dcterms:created>
  <dcterms:modified xsi:type="dcterms:W3CDTF">2025-04-08T17:42:00Z</dcterms:modified>
</cp:coreProperties>
</file>